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62052">
              <w:rPr>
                <w:b/>
                <w:sz w:val="28"/>
                <w:szCs w:val="28"/>
              </w:rPr>
              <w:t>16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B14712">
              <w:rPr>
                <w:b/>
                <w:bCs/>
                <w:sz w:val="28"/>
                <w:szCs w:val="28"/>
              </w:rPr>
              <w:t>9</w:t>
            </w:r>
            <w:r w:rsidR="00E62052">
              <w:rPr>
                <w:b/>
                <w:bCs/>
                <w:sz w:val="28"/>
                <w:szCs w:val="28"/>
              </w:rPr>
              <w:t xml:space="preserve"> ИЮНЯ</w:t>
            </w:r>
            <w:r>
              <w:rPr>
                <w:b/>
                <w:bCs/>
                <w:sz w:val="28"/>
                <w:szCs w:val="28"/>
              </w:rPr>
              <w:t xml:space="preserve">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E62052">
              <w:rPr>
                <w:b/>
                <w:sz w:val="28"/>
                <w:szCs w:val="28"/>
                <w:u w:val="single"/>
              </w:rPr>
              <w:t>ФИТОФТОРОЗ КАРТОФЕЛЯ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425403" w:rsidRDefault="00425403" w:rsidP="00E62052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</w:rPr>
            </w:pPr>
          </w:p>
          <w:p w:rsidR="00E62052" w:rsidRPr="006F4071" w:rsidRDefault="00474526" w:rsidP="00E62052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6F40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15240</wp:posOffset>
                  </wp:positionV>
                  <wp:extent cx="1670050" cy="1314450"/>
                  <wp:effectExtent l="19050" t="0" r="6350" b="0"/>
                  <wp:wrapTight wrapText="bothSides">
                    <wp:wrapPolygon edited="0">
                      <wp:start x="-246" y="0"/>
                      <wp:lineTo x="-246" y="21287"/>
                      <wp:lineTo x="21682" y="21287"/>
                      <wp:lineTo x="21682" y="0"/>
                      <wp:lineTo x="-246" y="0"/>
                    </wp:wrapPolygon>
                  </wp:wrapTight>
                  <wp:docPr id="1" name="Рисунок 2" descr="фитофтор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тофтор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0E51" w:rsidRPr="006F4071">
              <w:rPr>
                <w:sz w:val="22"/>
                <w:szCs w:val="22"/>
              </w:rPr>
              <w:t>Источником заболевания являются</w:t>
            </w:r>
            <w:r w:rsidR="00820E51" w:rsidRPr="006F4071">
              <w:t xml:space="preserve"> </w:t>
            </w:r>
            <w:hyperlink r:id="rId7" w:tooltip="Спора" w:history="1">
              <w:r w:rsidR="00820E51" w:rsidRPr="006F4071">
                <w:rPr>
                  <w:rStyle w:val="a8"/>
                  <w:color w:val="auto"/>
                  <w:sz w:val="22"/>
                  <w:szCs w:val="22"/>
                  <w:u w:val="none"/>
                </w:rPr>
                <w:t>с</w:t>
              </w:r>
              <w:r w:rsidR="00E62052" w:rsidRPr="006F4071">
                <w:rPr>
                  <w:rStyle w:val="a8"/>
                  <w:color w:val="auto"/>
                  <w:sz w:val="22"/>
                  <w:szCs w:val="22"/>
                  <w:u w:val="none"/>
                </w:rPr>
                <w:t>поры</w:t>
              </w:r>
            </w:hyperlink>
            <w:r w:rsidR="00820E51" w:rsidRPr="006F4071">
              <w:rPr>
                <w:rStyle w:val="apple-converted-space"/>
                <w:sz w:val="22"/>
                <w:szCs w:val="22"/>
              </w:rPr>
              <w:t xml:space="preserve">, которые </w:t>
            </w:r>
            <w:r w:rsidR="00E62052" w:rsidRPr="006F4071">
              <w:rPr>
                <w:sz w:val="22"/>
                <w:szCs w:val="22"/>
              </w:rPr>
              <w:t>зимуют на зараженных клубнях, особенно на тех, которые остались в земле после сбора урожая, в кучах ботвы, почве или зараженных растениях и быстро распространяютс</w:t>
            </w:r>
            <w:r w:rsidR="00820E51" w:rsidRPr="006F4071">
              <w:rPr>
                <w:sz w:val="22"/>
                <w:szCs w:val="22"/>
              </w:rPr>
              <w:t>я в теплых и влажных условиях</w:t>
            </w:r>
            <w:r w:rsidR="00E62052" w:rsidRPr="006F4071">
              <w:rPr>
                <w:sz w:val="22"/>
                <w:szCs w:val="22"/>
              </w:rPr>
              <w:t>.</w:t>
            </w:r>
          </w:p>
          <w:p w:rsidR="00E62052" w:rsidRPr="006F4071" w:rsidRDefault="00820E51" w:rsidP="00E62052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6F4071">
              <w:rPr>
                <w:sz w:val="22"/>
                <w:szCs w:val="22"/>
              </w:rPr>
              <w:t xml:space="preserve">Споры, главным образом, </w:t>
            </w:r>
            <w:r w:rsidR="00E62052" w:rsidRPr="006F4071">
              <w:rPr>
                <w:sz w:val="22"/>
                <w:szCs w:val="22"/>
              </w:rPr>
              <w:t>развиваются на листьях и распространяются от растения к растению, когда температура воздуха выше 10</w:t>
            </w:r>
            <w:r w:rsidR="00474526" w:rsidRPr="006F4071">
              <w:rPr>
                <w:sz w:val="22"/>
                <w:szCs w:val="22"/>
              </w:rPr>
              <w:t>-20</w:t>
            </w:r>
            <w:r w:rsidR="00E62052" w:rsidRPr="006F4071">
              <w:rPr>
                <w:sz w:val="22"/>
                <w:szCs w:val="22"/>
              </w:rPr>
              <w:t> °C, а влажность сохраняется на уровне 75 % и выше в течение двух или более дней.</w:t>
            </w:r>
            <w:r w:rsidR="00E62052" w:rsidRPr="006F4071">
              <w:rPr>
                <w:rStyle w:val="apple-converted-space"/>
                <w:sz w:val="22"/>
                <w:szCs w:val="22"/>
              </w:rPr>
              <w:t> </w:t>
            </w:r>
            <w:r w:rsidR="00E62052" w:rsidRPr="001F3EB5">
              <w:rPr>
                <w:sz w:val="22"/>
                <w:szCs w:val="22"/>
              </w:rPr>
              <w:t>Дождь</w:t>
            </w:r>
            <w:r w:rsidR="00E62052" w:rsidRPr="006F4071">
              <w:rPr>
                <w:rStyle w:val="apple-converted-space"/>
                <w:sz w:val="22"/>
                <w:szCs w:val="22"/>
              </w:rPr>
              <w:t> </w:t>
            </w:r>
            <w:r w:rsidRPr="006F4071">
              <w:rPr>
                <w:sz w:val="22"/>
                <w:szCs w:val="22"/>
              </w:rPr>
              <w:t>способствует вымыванию спор</w:t>
            </w:r>
            <w:r w:rsidR="00E62052" w:rsidRPr="006F4071">
              <w:rPr>
                <w:sz w:val="22"/>
                <w:szCs w:val="22"/>
              </w:rPr>
              <w:t xml:space="preserve"> в</w:t>
            </w:r>
            <w:r w:rsidR="00E62052" w:rsidRPr="006F4071">
              <w:rPr>
                <w:rStyle w:val="apple-converted-space"/>
                <w:sz w:val="22"/>
                <w:szCs w:val="22"/>
              </w:rPr>
              <w:t> </w:t>
            </w:r>
            <w:hyperlink r:id="rId8" w:tooltip="Почва" w:history="1">
              <w:r w:rsidR="00E62052" w:rsidRPr="006F4071">
                <w:rPr>
                  <w:rStyle w:val="a8"/>
                  <w:color w:val="auto"/>
                  <w:sz w:val="22"/>
                  <w:szCs w:val="22"/>
                  <w:u w:val="none"/>
                </w:rPr>
                <w:t>почву</w:t>
              </w:r>
            </w:hyperlink>
            <w:r w:rsidR="00E62052" w:rsidRPr="006F4071">
              <w:rPr>
                <w:sz w:val="22"/>
                <w:szCs w:val="22"/>
              </w:rPr>
              <w:t>, где они заражают молодые клубни. Другой способ распространения - разнос спор ветром на многие километры от источника заражения.</w:t>
            </w:r>
          </w:p>
          <w:p w:rsidR="00687FF5" w:rsidRPr="006F4071" w:rsidRDefault="00E62052" w:rsidP="00687FF5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6F4071">
              <w:rPr>
                <w:sz w:val="22"/>
                <w:szCs w:val="22"/>
              </w:rPr>
              <w:t xml:space="preserve">На ранней стадии болезнь </w:t>
            </w:r>
            <w:r w:rsidR="00820E51" w:rsidRPr="006F4071">
              <w:rPr>
                <w:sz w:val="22"/>
                <w:szCs w:val="22"/>
              </w:rPr>
              <w:t>может протекать бессимптомно</w:t>
            </w:r>
            <w:r w:rsidRPr="006F4071">
              <w:rPr>
                <w:sz w:val="22"/>
                <w:szCs w:val="22"/>
              </w:rPr>
              <w:t xml:space="preserve">, </w:t>
            </w:r>
            <w:r w:rsidR="00820E51" w:rsidRPr="006F4071">
              <w:rPr>
                <w:sz w:val="22"/>
                <w:szCs w:val="22"/>
              </w:rPr>
              <w:t xml:space="preserve">кроме того </w:t>
            </w:r>
            <w:r w:rsidRPr="006F4071">
              <w:rPr>
                <w:sz w:val="22"/>
                <w:szCs w:val="22"/>
              </w:rPr>
              <w:t xml:space="preserve">не все растения поражаются одновременно. </w:t>
            </w:r>
            <w:r w:rsidR="00820E51" w:rsidRPr="006F4071">
              <w:rPr>
                <w:sz w:val="22"/>
                <w:szCs w:val="22"/>
              </w:rPr>
              <w:t>Основными признаками болезни является</w:t>
            </w:r>
            <w:r w:rsidRPr="006F4071">
              <w:rPr>
                <w:sz w:val="22"/>
                <w:szCs w:val="22"/>
              </w:rPr>
              <w:t xml:space="preserve"> появление темных пятен на листовых пластинах и стеблях растения. </w:t>
            </w:r>
            <w:r w:rsidR="00820E51" w:rsidRPr="006F4071">
              <w:rPr>
                <w:sz w:val="22"/>
                <w:szCs w:val="22"/>
              </w:rPr>
              <w:t>При</w:t>
            </w:r>
            <w:r w:rsidRPr="006F4071">
              <w:rPr>
                <w:sz w:val="22"/>
                <w:szCs w:val="22"/>
              </w:rPr>
              <w:t xml:space="preserve"> влажных условиях с обратной стороны листьев появляется белый пушистый налёт </w:t>
            </w:r>
            <w:proofErr w:type="gramStart"/>
            <w:r w:rsidR="00820E51" w:rsidRPr="006F4071">
              <w:rPr>
                <w:sz w:val="22"/>
                <w:szCs w:val="22"/>
              </w:rPr>
              <w:t>–</w:t>
            </w:r>
            <w:r w:rsidRPr="006F4071">
              <w:rPr>
                <w:sz w:val="22"/>
                <w:szCs w:val="22"/>
              </w:rPr>
              <w:t>с</w:t>
            </w:r>
            <w:proofErr w:type="gramEnd"/>
            <w:r w:rsidRPr="006F4071">
              <w:rPr>
                <w:sz w:val="22"/>
                <w:szCs w:val="22"/>
              </w:rPr>
              <w:t xml:space="preserve">пороношения </w:t>
            </w:r>
            <w:r w:rsidR="00820E51" w:rsidRPr="006F4071">
              <w:rPr>
                <w:sz w:val="22"/>
                <w:szCs w:val="22"/>
              </w:rPr>
              <w:t>патогенна</w:t>
            </w:r>
            <w:r w:rsidRPr="006F4071">
              <w:rPr>
                <w:sz w:val="22"/>
                <w:szCs w:val="22"/>
              </w:rPr>
              <w:t xml:space="preserve">. </w:t>
            </w:r>
            <w:r w:rsidR="00820E51" w:rsidRPr="006F4071">
              <w:rPr>
                <w:sz w:val="22"/>
                <w:szCs w:val="22"/>
              </w:rPr>
              <w:t>На</w:t>
            </w:r>
            <w:r w:rsidRPr="006F4071">
              <w:rPr>
                <w:sz w:val="22"/>
                <w:szCs w:val="22"/>
              </w:rPr>
              <w:t xml:space="preserve"> зараженных клубнях появляются серые или темные участки, которые под кожицей имеют красновато-коричневый цвет. </w:t>
            </w:r>
            <w:r w:rsidR="00697282" w:rsidRPr="006F4071">
              <w:rPr>
                <w:sz w:val="22"/>
                <w:szCs w:val="22"/>
              </w:rPr>
              <w:t xml:space="preserve">Больные фитофторозом растения ослабляются, что способствует их быстрому поражению </w:t>
            </w:r>
            <w:proofErr w:type="gramStart"/>
            <w:r w:rsidR="00697282" w:rsidRPr="006F4071">
              <w:rPr>
                <w:sz w:val="22"/>
                <w:szCs w:val="22"/>
              </w:rPr>
              <w:t>бактериальными</w:t>
            </w:r>
            <w:proofErr w:type="gramEnd"/>
            <w:r w:rsidR="00697282" w:rsidRPr="006F4071">
              <w:rPr>
                <w:sz w:val="22"/>
                <w:szCs w:val="22"/>
              </w:rPr>
              <w:t xml:space="preserve"> гнилями</w:t>
            </w:r>
            <w:r w:rsidR="0079160E" w:rsidRPr="006F4071">
              <w:rPr>
                <w:sz w:val="22"/>
                <w:szCs w:val="22"/>
              </w:rPr>
              <w:t>.</w:t>
            </w:r>
            <w:r w:rsidRPr="006F4071">
              <w:rPr>
                <w:sz w:val="22"/>
                <w:szCs w:val="22"/>
              </w:rPr>
              <w:t xml:space="preserve"> </w:t>
            </w:r>
            <w:r w:rsidR="00687FF5" w:rsidRPr="006F4071">
              <w:rPr>
                <w:sz w:val="22"/>
                <w:szCs w:val="22"/>
              </w:rPr>
              <w:t xml:space="preserve"> </w:t>
            </w:r>
          </w:p>
          <w:p w:rsidR="00687FF5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6F4071">
              <w:rPr>
                <w:sz w:val="22"/>
                <w:szCs w:val="22"/>
              </w:rPr>
              <w:t>Ориентиром для проведения профилактических защитных мероприятий против болезни является фенофаза смыкание ботвы в рядках</w:t>
            </w:r>
            <w:r w:rsidR="00B14712">
              <w:rPr>
                <w:sz w:val="22"/>
                <w:szCs w:val="22"/>
              </w:rPr>
              <w:t>, когда необходимо провести обработку одним из системных фунгицидов.</w:t>
            </w:r>
            <w:r w:rsidRPr="006F40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эффективного использования системных фунгицидов обработку растений препаратами этой группы предпочтительнее проводить блоком, но не более трех раз за сезон. При появлении первых признаков фитофтороза посадки целесообразн</w:t>
            </w:r>
            <w:r w:rsidR="00B1471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обрабатывать контактными фунгицидами для снижения риска образования у возбудителя болезни резистентных форм. Применять их следует и во второй половине вегетации, когда прекращается активный рост растений. Продолжительность защитного действия у контактных фунгицидов составляет 7 – 8, у комбинированных – 10 - 12 дней.</w:t>
            </w:r>
          </w:p>
          <w:p w:rsidR="00687FF5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rPr>
                <w:sz w:val="22"/>
                <w:szCs w:val="22"/>
              </w:rPr>
              <w:t>Необходимо помнить, что контактные препараты сильнее смываются дождем, поэтому при выпадении обильных осадков (10 мм и более) опрыскивание картофеля следует повторить.</w:t>
            </w:r>
          </w:p>
          <w:p w:rsidR="00687FF5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tbl>
            <w:tblPr>
              <w:tblStyle w:val="a5"/>
              <w:tblW w:w="0" w:type="auto"/>
              <w:tblInd w:w="284" w:type="dxa"/>
              <w:tblLook w:val="04A0"/>
            </w:tblPr>
            <w:tblGrid>
              <w:gridCol w:w="3255"/>
              <w:gridCol w:w="6917"/>
            </w:tblGrid>
            <w:tr w:rsidR="00687FF5" w:rsidRPr="006F4071" w:rsidTr="0021345C">
              <w:tc>
                <w:tcPr>
                  <w:tcW w:w="3255" w:type="dxa"/>
                  <w:vAlign w:val="center"/>
                </w:tcPr>
                <w:p w:rsidR="00687FF5" w:rsidRPr="006F4071" w:rsidRDefault="00687FF5" w:rsidP="001F3EB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</w:pPr>
                  <w:r w:rsidRPr="006F4071"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687FF5" w:rsidRPr="006F4071" w:rsidRDefault="00687FF5" w:rsidP="001F3EB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6F4071">
                    <w:t>Осмотр растений (проба – 20 кустов подряд в одном ряду по диагонали поля; до 5 га – 15 проб; до 10 га – 20; до 15 га – 25; более 15 га – на каждые следующие 5 га дополнительно по  2 пробы)</w:t>
                  </w:r>
                </w:p>
              </w:tc>
            </w:tr>
            <w:tr w:rsidR="00687FF5" w:rsidRPr="006F4071" w:rsidTr="0021345C">
              <w:tc>
                <w:tcPr>
                  <w:tcW w:w="3255" w:type="dxa"/>
                </w:tcPr>
                <w:p w:rsidR="00687FF5" w:rsidRPr="006F4071" w:rsidRDefault="00687FF5" w:rsidP="001F3EB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</w:pPr>
                  <w:r w:rsidRPr="006F4071">
                    <w:t>Единица измерения:</w:t>
                  </w:r>
                </w:p>
              </w:tc>
              <w:tc>
                <w:tcPr>
                  <w:tcW w:w="6917" w:type="dxa"/>
                </w:tcPr>
                <w:p w:rsidR="00687FF5" w:rsidRPr="006F4071" w:rsidRDefault="00687FF5" w:rsidP="001F3EB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6F4071">
                    <w:t>% развития болезни</w:t>
                  </w:r>
                </w:p>
              </w:tc>
            </w:tr>
            <w:tr w:rsidR="00687FF5" w:rsidRPr="006F4071" w:rsidTr="0021345C">
              <w:tc>
                <w:tcPr>
                  <w:tcW w:w="3255" w:type="dxa"/>
                </w:tcPr>
                <w:p w:rsidR="00687FF5" w:rsidRPr="006F4071" w:rsidRDefault="00687FF5" w:rsidP="001F3EB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</w:pPr>
                  <w:r w:rsidRPr="006F4071"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687FF5" w:rsidRPr="006F4071" w:rsidRDefault="00687FF5" w:rsidP="001F3EB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6F4071">
                    <w:t xml:space="preserve">до 25 % - депрессивное; 25-50 % - умеренное; свыше 50 % - </w:t>
                  </w:r>
                  <w:proofErr w:type="spellStart"/>
                  <w:r w:rsidRPr="006F4071">
                    <w:t>эпифитотийное</w:t>
                  </w:r>
                  <w:proofErr w:type="spellEnd"/>
                </w:p>
              </w:tc>
            </w:tr>
          </w:tbl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687FF5" w:rsidRPr="006F4071" w:rsidRDefault="00687FF5" w:rsidP="00687FF5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6F4071">
              <w:rPr>
                <w:sz w:val="20"/>
                <w:szCs w:val="20"/>
              </w:rPr>
              <w:t>*Применение пестицидов проводить в строгом соответствии с действующими правила</w:t>
            </w:r>
            <w:r w:rsidRPr="006F4071">
              <w:rPr>
                <w:sz w:val="20"/>
                <w:szCs w:val="20"/>
              </w:rPr>
              <w:softHyphen/>
              <w:t>ми техники безопасности и производственной санитарии.</w:t>
            </w: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 w:rsidRPr="006F4071">
              <w:t>Заместитель  директора                                                                                                         О.А. Хвалей</w:t>
            </w: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820E51" w:rsidRDefault="00687FF5" w:rsidP="00FC7D1B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contextualSpacing/>
            </w:pPr>
            <w:proofErr w:type="spellStart"/>
            <w:r w:rsidRPr="006F4071">
              <w:rPr>
                <w:sz w:val="20"/>
                <w:szCs w:val="20"/>
              </w:rPr>
              <w:t>Пулинович</w:t>
            </w:r>
            <w:proofErr w:type="spellEnd"/>
            <w:r w:rsidRPr="006F4071">
              <w:rPr>
                <w:sz w:val="20"/>
                <w:szCs w:val="20"/>
              </w:rPr>
              <w:t xml:space="preserve"> 2882379</w:t>
            </w:r>
          </w:p>
          <w:p w:rsidR="00697282" w:rsidRPr="007A632F" w:rsidRDefault="00697282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1070.am15.net/img/ie_img_fix.gif" style="width:.7pt;height:.7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0B4C47"/>
    <w:rsid w:val="000E51A6"/>
    <w:rsid w:val="001142DB"/>
    <w:rsid w:val="0012450C"/>
    <w:rsid w:val="0018461B"/>
    <w:rsid w:val="001D21CB"/>
    <w:rsid w:val="001E1B76"/>
    <w:rsid w:val="001F3EB5"/>
    <w:rsid w:val="00212137"/>
    <w:rsid w:val="00216497"/>
    <w:rsid w:val="00234685"/>
    <w:rsid w:val="002C49C8"/>
    <w:rsid w:val="002D3A71"/>
    <w:rsid w:val="002D4D4C"/>
    <w:rsid w:val="002D55C2"/>
    <w:rsid w:val="002E588B"/>
    <w:rsid w:val="0031737C"/>
    <w:rsid w:val="00322711"/>
    <w:rsid w:val="00332812"/>
    <w:rsid w:val="0033290B"/>
    <w:rsid w:val="00350522"/>
    <w:rsid w:val="003A3797"/>
    <w:rsid w:val="003E6D42"/>
    <w:rsid w:val="003E6FD9"/>
    <w:rsid w:val="00400899"/>
    <w:rsid w:val="00425403"/>
    <w:rsid w:val="00452D6F"/>
    <w:rsid w:val="00474526"/>
    <w:rsid w:val="004814EA"/>
    <w:rsid w:val="00513251"/>
    <w:rsid w:val="005642A5"/>
    <w:rsid w:val="00566654"/>
    <w:rsid w:val="005C56AA"/>
    <w:rsid w:val="005D4110"/>
    <w:rsid w:val="005E015E"/>
    <w:rsid w:val="005E42C8"/>
    <w:rsid w:val="005E54C0"/>
    <w:rsid w:val="00627999"/>
    <w:rsid w:val="00652B36"/>
    <w:rsid w:val="00666370"/>
    <w:rsid w:val="00687FF5"/>
    <w:rsid w:val="00697282"/>
    <w:rsid w:val="006C3D5C"/>
    <w:rsid w:val="006F0DC4"/>
    <w:rsid w:val="006F4071"/>
    <w:rsid w:val="007807B8"/>
    <w:rsid w:val="0079160E"/>
    <w:rsid w:val="007A632F"/>
    <w:rsid w:val="007C28DE"/>
    <w:rsid w:val="007C297E"/>
    <w:rsid w:val="007D1C4A"/>
    <w:rsid w:val="007F4BCB"/>
    <w:rsid w:val="007F68DA"/>
    <w:rsid w:val="00820E51"/>
    <w:rsid w:val="008231DA"/>
    <w:rsid w:val="00823DC3"/>
    <w:rsid w:val="00840388"/>
    <w:rsid w:val="00845C96"/>
    <w:rsid w:val="008537F1"/>
    <w:rsid w:val="008552EE"/>
    <w:rsid w:val="00866D24"/>
    <w:rsid w:val="008B3FD2"/>
    <w:rsid w:val="008E48C0"/>
    <w:rsid w:val="0092425C"/>
    <w:rsid w:val="0099432F"/>
    <w:rsid w:val="009B29E8"/>
    <w:rsid w:val="009D4655"/>
    <w:rsid w:val="009E7F77"/>
    <w:rsid w:val="00AD3CB7"/>
    <w:rsid w:val="00AE6C7D"/>
    <w:rsid w:val="00AF125F"/>
    <w:rsid w:val="00AF5E11"/>
    <w:rsid w:val="00B0048F"/>
    <w:rsid w:val="00B12455"/>
    <w:rsid w:val="00B14712"/>
    <w:rsid w:val="00B73505"/>
    <w:rsid w:val="00C27B61"/>
    <w:rsid w:val="00CB0289"/>
    <w:rsid w:val="00CE0B39"/>
    <w:rsid w:val="00CE61D7"/>
    <w:rsid w:val="00D535F1"/>
    <w:rsid w:val="00D8343E"/>
    <w:rsid w:val="00DC3CB8"/>
    <w:rsid w:val="00E21A32"/>
    <w:rsid w:val="00E55D52"/>
    <w:rsid w:val="00E60612"/>
    <w:rsid w:val="00E62052"/>
    <w:rsid w:val="00E67AF8"/>
    <w:rsid w:val="00ED261B"/>
    <w:rsid w:val="00F0151A"/>
    <w:rsid w:val="00F043C3"/>
    <w:rsid w:val="00F40BED"/>
    <w:rsid w:val="00F70409"/>
    <w:rsid w:val="00FB7DBD"/>
    <w:rsid w:val="00FC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6205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620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F%D0%BE%D1%80%D0%B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2015-06-09T08:55:00Z</cp:lastPrinted>
  <dcterms:created xsi:type="dcterms:W3CDTF">2015-04-03T08:14:00Z</dcterms:created>
  <dcterms:modified xsi:type="dcterms:W3CDTF">2015-06-09T09:35:00Z</dcterms:modified>
</cp:coreProperties>
</file>